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10C4F" w14:textId="77777777" w:rsidR="00011D96" w:rsidRPr="00011D96" w:rsidRDefault="00011D96" w:rsidP="00011D96">
      <w:pPr>
        <w:pStyle w:val="Heading2"/>
        <w:jc w:val="both"/>
        <w:rPr>
          <w:rFonts w:ascii="Tahoma" w:hAnsi="Tahoma" w:cs="Tahoma"/>
          <w:b/>
          <w:bCs/>
          <w:color w:val="000000"/>
          <w:sz w:val="32"/>
          <w:szCs w:val="32"/>
        </w:rPr>
      </w:pPr>
      <w:r w:rsidRPr="00011D96">
        <w:rPr>
          <w:rFonts w:ascii="Tahoma" w:hAnsi="Tahoma" w:cs="Tahoma"/>
          <w:b/>
          <w:bCs/>
          <w:color w:val="000000"/>
          <w:sz w:val="32"/>
          <w:szCs w:val="32"/>
        </w:rPr>
        <w:t>ВИМОГИ ДО СТРУКТУРИ ТА ЗМІСТУ НАУКОВОЇ СТАТТІ</w:t>
      </w:r>
    </w:p>
    <w:p w14:paraId="6301E50D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Науковий журнал «Актуальні питання економічних наук»</w:t>
      </w:r>
    </w:p>
    <w:p w14:paraId="5ABCFFF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t>(інструкція для авторів)</w:t>
      </w:r>
    </w:p>
    <w:p w14:paraId="1FB44AD9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Ця інструкція є обов'язковою для всіх авторів. Стаття, яка не відповідає викладеним вимогам, буде повернута автору без рецензування. Редакція не вступає в дискусії щодо обґрунтованості цих вимог — вони базуються на Порядку формування Переліку наукових фахових видань України (наказ МОН від 19.01.2026 № 56).</w:t>
      </w:r>
    </w:p>
    <w:p w14:paraId="62A82F70" w14:textId="72B2F0A0" w:rsidR="00011D96" w:rsidRP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6930B5E6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ОФОРМЛЕННЯ СТАТТІ</w:t>
      </w:r>
    </w:p>
    <w:p w14:paraId="0CBF2D12" w14:textId="55C62AC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ВАЖЛИВО: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Стаття подається виключно на основі шаблону, розміщеного на сайті видання. Усі питання форматування (шрифти, інтервали, відступи, оформлення таблиць і рисунків) визначаються шаблоном. Ця інструкція регламентує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зміст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статті, а не її оформлення.</w:t>
      </w:r>
    </w:p>
    <w:p w14:paraId="1D30D053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Вимоги до подання:</w:t>
      </w:r>
    </w:p>
    <w:p w14:paraId="74B4D03F" w14:textId="77777777" w:rsidR="00011D96" w:rsidRPr="00011D96" w:rsidRDefault="00011D96" w:rsidP="00011D96">
      <w:pPr>
        <w:pStyle w:val="font-claude-response-body"/>
        <w:numPr>
          <w:ilvl w:val="0"/>
          <w:numId w:val="2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Завантажте актуальний шаблон із сайту видання</w:t>
      </w:r>
    </w:p>
    <w:p w14:paraId="57A607C2" w14:textId="77777777" w:rsidR="00011D96" w:rsidRPr="00011D96" w:rsidRDefault="00011D96" w:rsidP="00011D96">
      <w:pPr>
        <w:pStyle w:val="font-claude-response-body"/>
        <w:numPr>
          <w:ilvl w:val="0"/>
          <w:numId w:val="2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Заповніть усі поля шаблону</w:t>
      </w:r>
    </w:p>
    <w:p w14:paraId="17847585" w14:textId="77777777" w:rsidR="00011D96" w:rsidRPr="00011D96" w:rsidRDefault="00011D96" w:rsidP="00011D96">
      <w:pPr>
        <w:pStyle w:val="font-claude-response-body"/>
        <w:numPr>
          <w:ilvl w:val="0"/>
          <w:numId w:val="2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змінюйте структуру шаблону, не видаляйте та не додавайте розділи</w:t>
      </w:r>
    </w:p>
    <w:p w14:paraId="4F9D3333" w14:textId="77777777" w:rsidR="00011D96" w:rsidRPr="00011D96" w:rsidRDefault="00011D96" w:rsidP="00011D96">
      <w:pPr>
        <w:pStyle w:val="font-claude-response-body"/>
        <w:numPr>
          <w:ilvl w:val="0"/>
          <w:numId w:val="2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змінюйте форматування (шрифти, розміри, інтервали, поля)</w:t>
      </w:r>
    </w:p>
    <w:p w14:paraId="5CC21B18" w14:textId="77777777" w:rsidR="00011D96" w:rsidRPr="00011D96" w:rsidRDefault="00011D96" w:rsidP="00011D96">
      <w:pPr>
        <w:pStyle w:val="font-claude-response-body"/>
        <w:numPr>
          <w:ilvl w:val="0"/>
          <w:numId w:val="2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Зберігайте файл у форматі .docx</w:t>
      </w:r>
    </w:p>
    <w:p w14:paraId="1D965351" w14:textId="2E63E97D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Статті, подані не на основі шаблону або з порушенням його структури, повертаються автору без розгляду.</w:t>
      </w:r>
    </w:p>
    <w:p w14:paraId="2B071DF9" w14:textId="4A01280B" w:rsidR="00011D96" w:rsidRP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4B15A13D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МЕТАДАНІ СТАТТІ</w:t>
      </w:r>
    </w:p>
    <w:p w14:paraId="17D77B74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Службова інформація (заповнюється автором)</w:t>
      </w:r>
    </w:p>
    <w:p w14:paraId="40A7BFE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Секція: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8"/>
        <w:gridCol w:w="6982"/>
      </w:tblGrid>
      <w:tr w:rsidR="00011D96" w:rsidRPr="00011D96" w14:paraId="5181C5E9" w14:textId="77777777" w:rsidTr="00011D96">
        <w:tc>
          <w:tcPr>
            <w:tcW w:w="0" w:type="auto"/>
            <w:shd w:val="clear" w:color="auto" w:fill="FFEAA7"/>
            <w:hideMark/>
          </w:tcPr>
          <w:p w14:paraId="7E799B37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1D96">
              <w:rPr>
                <w:rFonts w:ascii="Tahoma" w:hAnsi="Tahoma" w:cs="Tahoma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0" w:type="auto"/>
            <w:shd w:val="clear" w:color="auto" w:fill="FFEAA7"/>
            <w:hideMark/>
          </w:tcPr>
          <w:p w14:paraId="1A4483D2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011D96">
              <w:rPr>
                <w:rFonts w:ascii="Tahoma" w:hAnsi="Tahoma" w:cs="Tahoma"/>
                <w:b/>
                <w:bCs/>
                <w:sz w:val="24"/>
                <w:szCs w:val="24"/>
              </w:rPr>
              <w:t>Спеціальність</w:t>
            </w:r>
          </w:p>
        </w:tc>
      </w:tr>
      <w:tr w:rsidR="00011D96" w:rsidRPr="00011D96" w14:paraId="0FF05206" w14:textId="77777777" w:rsidTr="00011D96">
        <w:tc>
          <w:tcPr>
            <w:tcW w:w="0" w:type="auto"/>
            <w:hideMark/>
          </w:tcPr>
          <w:p w14:paraId="7A926571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D1</w:t>
            </w:r>
          </w:p>
        </w:tc>
        <w:tc>
          <w:tcPr>
            <w:tcW w:w="0" w:type="auto"/>
            <w:hideMark/>
          </w:tcPr>
          <w:p w14:paraId="5D4A8C2C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Облік і оподаткування</w:t>
            </w:r>
          </w:p>
        </w:tc>
      </w:tr>
      <w:tr w:rsidR="00011D96" w:rsidRPr="00011D96" w14:paraId="24462414" w14:textId="77777777" w:rsidTr="00011D96">
        <w:tc>
          <w:tcPr>
            <w:tcW w:w="0" w:type="auto"/>
            <w:hideMark/>
          </w:tcPr>
          <w:p w14:paraId="11876216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D2</w:t>
            </w:r>
          </w:p>
        </w:tc>
        <w:tc>
          <w:tcPr>
            <w:tcW w:w="0" w:type="auto"/>
            <w:hideMark/>
          </w:tcPr>
          <w:p w14:paraId="11CA986C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Фінанси, банківська справа, страхування та фондовий ринок</w:t>
            </w:r>
          </w:p>
        </w:tc>
      </w:tr>
      <w:tr w:rsidR="00011D96" w:rsidRPr="00011D96" w14:paraId="78AF1A7F" w14:textId="77777777" w:rsidTr="00011D96">
        <w:tc>
          <w:tcPr>
            <w:tcW w:w="0" w:type="auto"/>
            <w:hideMark/>
          </w:tcPr>
          <w:p w14:paraId="31E2D9A0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D3</w:t>
            </w:r>
          </w:p>
        </w:tc>
        <w:tc>
          <w:tcPr>
            <w:tcW w:w="0" w:type="auto"/>
            <w:hideMark/>
          </w:tcPr>
          <w:p w14:paraId="66C3981A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Менеджмент</w:t>
            </w:r>
          </w:p>
        </w:tc>
      </w:tr>
      <w:tr w:rsidR="00011D96" w:rsidRPr="00011D96" w14:paraId="2E0F5767" w14:textId="77777777" w:rsidTr="00011D96">
        <w:tc>
          <w:tcPr>
            <w:tcW w:w="0" w:type="auto"/>
            <w:hideMark/>
          </w:tcPr>
          <w:p w14:paraId="70988068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D5</w:t>
            </w:r>
          </w:p>
        </w:tc>
        <w:tc>
          <w:tcPr>
            <w:tcW w:w="0" w:type="auto"/>
            <w:hideMark/>
          </w:tcPr>
          <w:p w14:paraId="258302CE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Маркетинг</w:t>
            </w:r>
          </w:p>
        </w:tc>
      </w:tr>
      <w:tr w:rsidR="00011D96" w:rsidRPr="00011D96" w14:paraId="3E26972C" w14:textId="77777777" w:rsidTr="00011D96">
        <w:tc>
          <w:tcPr>
            <w:tcW w:w="0" w:type="auto"/>
            <w:hideMark/>
          </w:tcPr>
          <w:p w14:paraId="1D98D799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D7</w:t>
            </w:r>
          </w:p>
        </w:tc>
        <w:tc>
          <w:tcPr>
            <w:tcW w:w="0" w:type="auto"/>
            <w:hideMark/>
          </w:tcPr>
          <w:p w14:paraId="0B93BF82" w14:textId="77777777" w:rsidR="00011D96" w:rsidRPr="00011D96" w:rsidRDefault="00011D96" w:rsidP="00011D9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011D96">
              <w:rPr>
                <w:rFonts w:ascii="Tahoma" w:hAnsi="Tahoma" w:cs="Tahoma"/>
                <w:sz w:val="24"/>
                <w:szCs w:val="24"/>
              </w:rPr>
              <w:t>Підприємництво, торгівля та біржова діяльність</w:t>
            </w:r>
          </w:p>
        </w:tc>
      </w:tr>
    </w:tbl>
    <w:p w14:paraId="69824E9F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УДК</w:t>
      </w:r>
    </w:p>
    <w:p w14:paraId="470F0938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Службова інформація (заповнюється редакцією)</w:t>
      </w:r>
    </w:p>
    <w:p w14:paraId="26E192EB" w14:textId="77777777" w:rsidR="00011D96" w:rsidRPr="00011D96" w:rsidRDefault="00011D96" w:rsidP="00011D96">
      <w:pPr>
        <w:pStyle w:val="font-claude-response-body"/>
        <w:numPr>
          <w:ilvl w:val="0"/>
          <w:numId w:val="3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DOI статті</w:t>
      </w:r>
    </w:p>
    <w:p w14:paraId="36CE1897" w14:textId="77777777" w:rsidR="00011D96" w:rsidRPr="00011D96" w:rsidRDefault="00011D96" w:rsidP="00011D96">
      <w:pPr>
        <w:pStyle w:val="font-claude-response-body"/>
        <w:numPr>
          <w:ilvl w:val="0"/>
          <w:numId w:val="3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Дата першого надходження статті до видання</w:t>
      </w:r>
    </w:p>
    <w:p w14:paraId="1B921CD1" w14:textId="77777777" w:rsidR="00011D96" w:rsidRPr="00011D96" w:rsidRDefault="00011D96" w:rsidP="00011D96">
      <w:pPr>
        <w:pStyle w:val="font-claude-response-body"/>
        <w:numPr>
          <w:ilvl w:val="0"/>
          <w:numId w:val="3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Дата прийняття статті до друку після рецензування</w:t>
      </w:r>
    </w:p>
    <w:p w14:paraId="4F684E19" w14:textId="77777777" w:rsidR="00011D96" w:rsidRPr="00011D96" w:rsidRDefault="00011D96" w:rsidP="00011D96">
      <w:pPr>
        <w:pStyle w:val="font-claude-response-body"/>
        <w:numPr>
          <w:ilvl w:val="0"/>
          <w:numId w:val="3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Дата публікації/оприлюднення</w:t>
      </w:r>
    </w:p>
    <w:p w14:paraId="6F88FC8E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lastRenderedPageBreak/>
        <w:t>Ці поля залиште порожніми — їх заповнює редакція.</w:t>
      </w:r>
    </w:p>
    <w:p w14:paraId="754DCDDE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Відомості про автора (авторів)</w:t>
      </w:r>
    </w:p>
    <w:p w14:paraId="44DFA84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Для кожного автора вказуються (українською та англійською мовами):</w:t>
      </w:r>
    </w:p>
    <w:p w14:paraId="53474B30" w14:textId="77777777" w:rsidR="00011D96" w:rsidRPr="00011D96" w:rsidRDefault="00011D96" w:rsidP="00011D96">
      <w:pPr>
        <w:pStyle w:val="font-claude-response-body"/>
        <w:numPr>
          <w:ilvl w:val="0"/>
          <w:numId w:val="31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Прізвище, ім'я, по батькові — повністю</w:t>
      </w:r>
    </w:p>
    <w:p w14:paraId="711C4E65" w14:textId="77777777" w:rsidR="00011D96" w:rsidRPr="00011D96" w:rsidRDefault="00011D96" w:rsidP="00011D96">
      <w:pPr>
        <w:pStyle w:val="font-claude-response-body"/>
        <w:numPr>
          <w:ilvl w:val="0"/>
          <w:numId w:val="31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Науковий ступінь, вчене звання</w:t>
      </w:r>
    </w:p>
    <w:p w14:paraId="65F8705A" w14:textId="77777777" w:rsidR="00011D96" w:rsidRPr="00011D96" w:rsidRDefault="00011D96" w:rsidP="00011D96">
      <w:pPr>
        <w:pStyle w:val="font-claude-response-body"/>
        <w:numPr>
          <w:ilvl w:val="0"/>
          <w:numId w:val="31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Місце роботи (повна офіційна назва установи), місто, країна</w:t>
      </w:r>
    </w:p>
    <w:p w14:paraId="06FB09AF" w14:textId="77777777" w:rsidR="00011D96" w:rsidRPr="00011D96" w:rsidRDefault="00011D96" w:rsidP="00011D96">
      <w:pPr>
        <w:pStyle w:val="font-claude-response-body"/>
        <w:numPr>
          <w:ilvl w:val="0"/>
          <w:numId w:val="31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E-mail — дійсна електронна адреса</w:t>
      </w:r>
    </w:p>
    <w:p w14:paraId="67AF4202" w14:textId="77777777" w:rsidR="00011D96" w:rsidRPr="00011D96" w:rsidRDefault="00011D96" w:rsidP="00011D96">
      <w:pPr>
        <w:pStyle w:val="font-claude-response-body"/>
        <w:numPr>
          <w:ilvl w:val="0"/>
          <w:numId w:val="31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ORCID iD — у форматі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hyperlink r:id="rId5" w:history="1">
        <w:r w:rsidRPr="00011D96">
          <w:rPr>
            <w:rStyle w:val="Hyperlink"/>
            <w:rFonts w:ascii="Tahoma" w:hAnsi="Tahoma" w:cs="Tahoma"/>
          </w:rPr>
          <w:t>https://orcid.org/0000-0000-0000-0000</w:t>
        </w:r>
      </w:hyperlink>
    </w:p>
    <w:p w14:paraId="498432D9" w14:textId="3C77282F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УВАГА: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Автор без ORCID не може бути включений до статті. Зареєструйте ORCID безкоштовно на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hyperlink r:id="rId6" w:history="1">
        <w:r w:rsidRPr="00011D96">
          <w:rPr>
            <w:rStyle w:val="Hyperlink"/>
            <w:rFonts w:ascii="Tahoma" w:hAnsi="Tahoma" w:cs="Tahoma"/>
          </w:rPr>
          <w:t>https://orcid.org</w:t>
        </w:r>
      </w:hyperlink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до подання статті.</w:t>
      </w:r>
    </w:p>
    <w:p w14:paraId="6F9F8CCA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Назва статті</w:t>
      </w:r>
    </w:p>
    <w:p w14:paraId="56E9190B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Назва подається українською та англійською мовами. Назва повинна:</w:t>
      </w:r>
    </w:p>
    <w:p w14:paraId="477297FB" w14:textId="77777777" w:rsidR="00011D96" w:rsidRPr="00011D96" w:rsidRDefault="00011D96" w:rsidP="00011D96">
      <w:pPr>
        <w:pStyle w:val="font-claude-response-body"/>
        <w:numPr>
          <w:ilvl w:val="0"/>
          <w:numId w:val="32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Відображати суть дослідження</w:t>
      </w:r>
    </w:p>
    <w:p w14:paraId="123D61FC" w14:textId="77777777" w:rsidR="00011D96" w:rsidRPr="00011D96" w:rsidRDefault="00011D96" w:rsidP="00011D96">
      <w:pPr>
        <w:pStyle w:val="font-claude-response-body"/>
        <w:numPr>
          <w:ilvl w:val="0"/>
          <w:numId w:val="32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Містити ключові терміни для пошуку</w:t>
      </w:r>
    </w:p>
    <w:p w14:paraId="57E4C64E" w14:textId="77777777" w:rsidR="00011D96" w:rsidRPr="00011D96" w:rsidRDefault="00011D96" w:rsidP="00011D96">
      <w:pPr>
        <w:pStyle w:val="font-claude-response-body"/>
        <w:numPr>
          <w:ilvl w:val="0"/>
          <w:numId w:val="32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перевищувати 15 слів</w:t>
      </w:r>
    </w:p>
    <w:p w14:paraId="7E987C4B" w14:textId="77777777" w:rsidR="00011D96" w:rsidRPr="00011D96" w:rsidRDefault="00011D96" w:rsidP="00011D96">
      <w:pPr>
        <w:pStyle w:val="font-claude-response-body"/>
        <w:numPr>
          <w:ilvl w:val="0"/>
          <w:numId w:val="32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містити абревіатур (крім загальновідомих)</w:t>
      </w:r>
    </w:p>
    <w:p w14:paraId="3AE540E8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Анотація</w:t>
      </w:r>
    </w:p>
    <w:p w14:paraId="07F7E14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Анотація подається українською та англійською мовами. Обсяг: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не менше 1800 знаків (з пробілами)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для кожної мовної версії.</w:t>
      </w:r>
    </w:p>
    <w:p w14:paraId="4B89D780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Анотація обов'язково містить:</w:t>
      </w:r>
    </w:p>
    <w:p w14:paraId="021D35A0" w14:textId="77777777" w:rsidR="00011D96" w:rsidRPr="00011D96" w:rsidRDefault="00011D96" w:rsidP="00011D96">
      <w:pPr>
        <w:pStyle w:val="font-claude-response-body"/>
        <w:numPr>
          <w:ilvl w:val="0"/>
          <w:numId w:val="33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Мету дослідження (1–2 речення)</w:t>
      </w:r>
    </w:p>
    <w:p w14:paraId="359EF2B9" w14:textId="77777777" w:rsidR="00011D96" w:rsidRPr="00011D96" w:rsidRDefault="00011D96" w:rsidP="00011D96">
      <w:pPr>
        <w:pStyle w:val="font-claude-response-body"/>
        <w:numPr>
          <w:ilvl w:val="0"/>
          <w:numId w:val="33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Методи дослідження (1–2 речення)</w:t>
      </w:r>
    </w:p>
    <w:p w14:paraId="2DD27482" w14:textId="77777777" w:rsidR="00011D96" w:rsidRPr="00011D96" w:rsidRDefault="00011D96" w:rsidP="00011D96">
      <w:pPr>
        <w:pStyle w:val="font-claude-response-body"/>
        <w:numPr>
          <w:ilvl w:val="0"/>
          <w:numId w:val="33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Основні результати (3–5 речень)</w:t>
      </w:r>
    </w:p>
    <w:p w14:paraId="7DCC6CC6" w14:textId="77777777" w:rsidR="00011D96" w:rsidRPr="00011D96" w:rsidRDefault="00011D96" w:rsidP="00011D96">
      <w:pPr>
        <w:pStyle w:val="font-claude-response-body"/>
        <w:numPr>
          <w:ilvl w:val="0"/>
          <w:numId w:val="33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Наукову новизну (1–2 речення)</w:t>
      </w:r>
    </w:p>
    <w:p w14:paraId="2675E80F" w14:textId="77777777" w:rsidR="00011D96" w:rsidRPr="00011D96" w:rsidRDefault="00011D96" w:rsidP="00011D96">
      <w:pPr>
        <w:pStyle w:val="font-claude-response-body"/>
        <w:numPr>
          <w:ilvl w:val="0"/>
          <w:numId w:val="33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Практичне значення (1–2 речення)</w:t>
      </w:r>
    </w:p>
    <w:p w14:paraId="14545228" w14:textId="424D7395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Анотація, яка є простим переказом вступу або не містить результатів, є підставою для повернення статті.</w:t>
      </w:r>
    </w:p>
    <w:p w14:paraId="01E07FAF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Ключові слова</w:t>
      </w:r>
    </w:p>
    <w:p w14:paraId="1C8F0410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6–12 ключових слів або словосполучень українською та англійською мовами, розділених комами. Ключові слова не повинні дублювати слова з назви статті.</w:t>
      </w:r>
    </w:p>
    <w:p w14:paraId="359BA917" w14:textId="3057F32C" w:rsidR="00011D96" w:rsidRP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2FB2A894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СТРУКТУРА ОСНОВНОГО ТЕКСТУ СТАТТІ</w:t>
      </w:r>
    </w:p>
    <w:p w14:paraId="73FA0BB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Стаття містить розділи, передбачені шаблоном. Назви розділів та підрозділів є обов'язковими і не можуть бути змінені.</w:t>
      </w:r>
    </w:p>
    <w:p w14:paraId="5AA005B4" w14:textId="3918A2DF" w:rsidR="00011D96" w:rsidRP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4807BA42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ВСТУП</w:t>
      </w:r>
    </w:p>
    <w:p w14:paraId="6B81571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t>Вступ відповідає на питання: «Чому це дослідження важливе і що автор хоче з'ясувати?»</w:t>
      </w:r>
    </w:p>
    <w:p w14:paraId="5BF6AA0D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Актуальність проблеми</w:t>
      </w:r>
    </w:p>
    <w:p w14:paraId="20E6A471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Чітко поясніть, чому обрана тема є важливою саме зараз. Посилайтеся на сучасні виклики, потреби практики, прогалини у знаннях. Уникайте загальних фраз.</w:t>
      </w:r>
    </w:p>
    <w:p w14:paraId="4B3F5639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НЕПРАВИЛЬНО: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«Тема є актуальною в сучасних умовах розвитку економіки»</w:t>
      </w:r>
    </w:p>
    <w:p w14:paraId="57DB9402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«Зростання частки безготівкових розрахунків в Україні до 66,4% у 2025 році (за даними НБУ) змінює структуру транзакційних витрат малого бізнесу, проте методики оцінювання цього впливу для підприємств роздрібної торгівлі досі не адаптовані до національних умов»</w:t>
      </w:r>
    </w:p>
    <w:p w14:paraId="1DC9FF9F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Аналіз останніх досліджень і публікацій</w:t>
      </w:r>
    </w:p>
    <w:p w14:paraId="69604A01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Проаналізуйте 10–20 джерел за останні 5–7 років. Не перераховуйте авторів списком —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порівнюйте їхні підходи</w:t>
      </w:r>
      <w:r w:rsidRPr="00011D96">
        <w:rPr>
          <w:rFonts w:ascii="Tahoma" w:hAnsi="Tahoma" w:cs="Tahoma"/>
          <w:color w:val="000000"/>
        </w:rPr>
        <w:t>, виявляйте спільне та відмінне. Обов'язково включайте іноземні джерела.</w:t>
      </w:r>
    </w:p>
    <w:p w14:paraId="2E040100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НЕПРАВИЛЬНО: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«Проблему досліджували Іваненко І.І., Петренко П.П., Сидоренко С.С. та інші»</w:t>
      </w:r>
    </w:p>
    <w:p w14:paraId="6AA72168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«Іваненко І.І. [5] розглядає цифровізацію платежів як чинник зниження операційних витрат, тоді як Петренко П.П. [8] акцентує на зростанні комісійного навантаження для мікробізнесу. Обидва підходи не враховують сезонність грошових потоків у роздрібній торгівлі, що досліджена в роботах Smith J. [12] та Chen L. [14]»</w:t>
      </w:r>
    </w:p>
    <w:p w14:paraId="28B98CC4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Виділення невирішеної частини проблеми</w:t>
      </w:r>
    </w:p>
    <w:p w14:paraId="715A09F3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Чітко сформулюйте, що саме залишилося недослідженим або потребує уточнення. Це речення є обґрунтуванням вашого дослідження.</w:t>
      </w:r>
    </w:p>
    <w:p w14:paraId="263CABCF" w14:textId="012D0E39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Відсутність чіткого формулювання наукової проблеми.</w:t>
      </w:r>
    </w:p>
    <w:p w14:paraId="0097F9B2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«Попри значний доробок учених, невирішеним залишається питання оцінювання чистого фінансового ефекту переходу на безготівкові розрахунки для підприємств роздрібної торгівлі з річним оборотом до 10 млн грн»</w:t>
      </w:r>
    </w:p>
    <w:p w14:paraId="6152DECE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Мета статті</w:t>
      </w:r>
    </w:p>
    <w:p w14:paraId="433A6711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Мета формулюється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одним реченням</w:t>
      </w:r>
      <w:r w:rsidRPr="00011D96">
        <w:rPr>
          <w:rFonts w:ascii="Tahoma" w:hAnsi="Tahoma" w:cs="Tahoma"/>
          <w:color w:val="000000"/>
        </w:rPr>
        <w:t>. Мета — це не процес («дослідити», «проаналізувати»), а результат («визначити», «розробити», «обґрунтувати»).</w:t>
      </w:r>
    </w:p>
    <w:p w14:paraId="3290E180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lastRenderedPageBreak/>
        <w:t>НЕПРАВИЛЬНО: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«Метою статті є дослідження впливу цифровізації на фінансові результати підприємств»</w:t>
      </w:r>
    </w:p>
    <w:p w14:paraId="7B27BBAC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«Метою статті є розробка методики оцінювання чистого фінансового ефекту переходу на безготівкові розрахунки для підприємств роздрібної торгівлі»</w:t>
      </w:r>
    </w:p>
    <w:p w14:paraId="3E579CF6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Наукова новизна</w:t>
      </w:r>
    </w:p>
    <w:p w14:paraId="422D5D5D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 одному-двох реченнях сформулюйте, що нового пропонує дослідження. Використовуйте формулювання: «вперше», «удосконалено», «набуло подальшого розвитку».</w:t>
      </w:r>
    </w:p>
    <w:p w14:paraId="61638403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«Наукова новизна полягає в удосконаленні методики оцінювання транзакційних витрат, яка, на відміну від наявних, враховує сезонні коливання виручки та диференціює комісійне навантаження за типами платіжних інструментів»</w:t>
      </w:r>
    </w:p>
    <w:p w14:paraId="41CC4F04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Практичне значення</w:t>
      </w:r>
    </w:p>
    <w:p w14:paraId="560023D2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 одному-двох реченнях вкажіть, хто і як може використати результати дослідження.</w:t>
      </w:r>
    </w:p>
    <w:p w14:paraId="4A19565E" w14:textId="379EE450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«Практичне значення результатів полягає у можливості їх використання фінансовими менеджерами підприємств роздрібної торгівлі для обґрунтування вибору моделі еквайрингу»</w:t>
      </w:r>
    </w:p>
    <w:p w14:paraId="49133C60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МЕТОДОЛОГІЯ</w:t>
      </w:r>
    </w:p>
    <w:p w14:paraId="01FFFBC1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t>Методологія відповідає на питання: «Як саме автор отримав результати?»</w:t>
      </w:r>
    </w:p>
    <w:p w14:paraId="5469DC86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Цей розділ дозволяє іншому дослідникові повторити ваше дослідження та перевірити результати.</w:t>
      </w:r>
    </w:p>
    <w:p w14:paraId="7C3DF079" w14:textId="65A9A44E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Відсутність методології або її формальний опис («використано загальнонаукові методи аналізу і синтезу»).</w:t>
      </w:r>
    </w:p>
    <w:p w14:paraId="6F3F4319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Методи дослідження</w:t>
      </w:r>
    </w:p>
    <w:p w14:paraId="68FDFA8F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Перерахуйте конкретні методи та поясніть, для чого кожен з них використано.</w:t>
      </w:r>
    </w:p>
    <w:p w14:paraId="7282301D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НЕПРАВИЛЬНО: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«У дослідженні використано методи аналізу, синтезу, індукції та дедукції»</w:t>
      </w:r>
    </w:p>
    <w:p w14:paraId="077CC58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«Для виявлення залежності між часткою безготівкових розрахунків і рентабельністю продажів застосовано кореляційно-регресійний аналіз (коефіцієнт Пірсона). Для порівняння груп підприємств за розміром обороту використано t-тест Стьюдента для незалежних вибірок. Прогнозування динаміки транзакційних витрат здійснено методом експоненційного згладжування»</w:t>
      </w:r>
    </w:p>
    <w:p w14:paraId="58B231E4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Джерела даних</w:t>
      </w:r>
    </w:p>
    <w:p w14:paraId="4730E8F8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lastRenderedPageBreak/>
        <w:t>Вкажіть, звідки отримано дані: власне опитування, офіційна статистика, відкриті бази даних, фінансова звітність тощо. Для опитувань вкажіть обсяг вибірки, період збору даних, спосіб формування вибірки.</w:t>
      </w:r>
    </w:p>
    <w:p w14:paraId="3A665693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«Емпіричну базу дослідження склали дані фінансової звітності 64 підприємств роздрібної торгівлі Львівської області за 2021–2025 рр., отримані з системи YouControl, а також результати анкетування 38 фінансових менеджерів цих підприємств, проведеного у березні–квітні 2026 року. Макроекономічні показники взято з офіційних публікацій НБУ та Держстату»</w:t>
      </w:r>
    </w:p>
    <w:p w14:paraId="03140F23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Інструменти аналізу</w:t>
      </w:r>
    </w:p>
    <w:p w14:paraId="33955B00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Вкажіть програмне забезпечення та розрахункові процедури, застосовані для обробки даних.</w:t>
      </w:r>
    </w:p>
    <w:p w14:paraId="03D0EC11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«Статистичну обробку даних здійснено у програмі SPSS Statistics 27 та засобами пакета Analysis ToolPak у Microsoft Excel. Побудову економетричної моделі виконано у програмному середовищі R (пакет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HTMLCode"/>
          <w:rFonts w:ascii="Tahoma" w:hAnsi="Tahoma" w:cs="Tahoma"/>
          <w:color w:val="000000"/>
          <w:sz w:val="24"/>
          <w:szCs w:val="24"/>
        </w:rPr>
        <w:t>plm</w:t>
      </w:r>
      <w:r w:rsidRPr="00011D96">
        <w:rPr>
          <w:rFonts w:ascii="Tahoma" w:hAnsi="Tahoma" w:cs="Tahoma"/>
          <w:color w:val="000000"/>
        </w:rPr>
        <w:t>)»</w:t>
      </w:r>
    </w:p>
    <w:p w14:paraId="00FD0339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Обмеження дослідження</w:t>
      </w:r>
    </w:p>
    <w:p w14:paraId="05715A48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Чесно вкажіть межі застосування ваших результатів.</w:t>
      </w:r>
    </w:p>
    <w:p w14:paraId="0B794DD9" w14:textId="085CE0DF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«Результати дослідження поширюються на підприємства роздрібної торгівлі непродовольчої групи з річним оборотом до 10 млн грн і можуть потребувати коригування для підприємств оптової торгівлі та сфери послуг. Період спостереження охоплює роки дії воєнного стану, що обмежує можливість екстраполяції на довоєнні умови»</w:t>
      </w:r>
    </w:p>
    <w:p w14:paraId="47AC277E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РЕЗУЛЬТАТИ</w:t>
      </w:r>
    </w:p>
    <w:p w14:paraId="3273E650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t>Результати відповідають на питання: «Що саме автор виявив/отримав?»</w:t>
      </w:r>
    </w:p>
    <w:p w14:paraId="2357673A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У цьому розділі викладаються фактичні результати дослідження —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без їх інтерпретації та порівняння з іншими роботами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(це робиться в Обговоренні).</w:t>
      </w:r>
    </w:p>
    <w:p w14:paraId="6B1FDF94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Вимоги до розділу:</w:t>
      </w:r>
    </w:p>
    <w:p w14:paraId="40D123DB" w14:textId="77777777" w:rsidR="00011D96" w:rsidRPr="00011D96" w:rsidRDefault="00011D96" w:rsidP="00011D96">
      <w:pPr>
        <w:pStyle w:val="font-claude-response-body"/>
        <w:numPr>
          <w:ilvl w:val="0"/>
          <w:numId w:val="34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Подавайте результати логічно та послідовно</w:t>
      </w:r>
    </w:p>
    <w:p w14:paraId="32596266" w14:textId="77777777" w:rsidR="00011D96" w:rsidRPr="00011D96" w:rsidRDefault="00011D96" w:rsidP="00011D96">
      <w:pPr>
        <w:pStyle w:val="font-claude-response-body"/>
        <w:numPr>
          <w:ilvl w:val="0"/>
          <w:numId w:val="34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Використовуйте таблиці та рисунки для наочності</w:t>
      </w:r>
    </w:p>
    <w:p w14:paraId="2A20B4BA" w14:textId="77777777" w:rsidR="00011D96" w:rsidRPr="00011D96" w:rsidRDefault="00011D96" w:rsidP="00011D96">
      <w:pPr>
        <w:pStyle w:val="font-claude-response-body"/>
        <w:numPr>
          <w:ilvl w:val="0"/>
          <w:numId w:val="34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Кожна таблиця та рисунок мають номер, назву та посилання в тексті</w:t>
      </w:r>
    </w:p>
    <w:p w14:paraId="43C21CF6" w14:textId="77777777" w:rsidR="00011D96" w:rsidRPr="00011D96" w:rsidRDefault="00011D96" w:rsidP="00011D96">
      <w:pPr>
        <w:pStyle w:val="font-claude-response-body"/>
        <w:numPr>
          <w:ilvl w:val="0"/>
          <w:numId w:val="34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дублюйте в тексті дані, наведені в таблицях</w:t>
      </w:r>
    </w:p>
    <w:p w14:paraId="08DDD799" w14:textId="77777777" w:rsidR="00011D96" w:rsidRPr="00011D96" w:rsidRDefault="00011D96" w:rsidP="00011D96">
      <w:pPr>
        <w:pStyle w:val="font-claude-response-body"/>
        <w:numPr>
          <w:ilvl w:val="0"/>
          <w:numId w:val="34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Подавайте конкретні числові дані, а не загальні оцінки</w:t>
      </w:r>
    </w:p>
    <w:p w14:paraId="41A4ADF9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НЕПРАВИЛЬНО: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«Результати аналізу показали, що більшість підприємств покращили фінансові показники»</w:t>
      </w:r>
    </w:p>
    <w:p w14:paraId="65B2F56F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 xml:space="preserve">«Збільшення частки безготівкових розрахунків на 10 в.п. супроводжувалося зростанням рентабельності продажів у середньому на 0,8 в.п. (r </w:t>
      </w:r>
      <w:r w:rsidRPr="00011D96">
        <w:rPr>
          <w:rFonts w:ascii="Tahoma" w:hAnsi="Tahoma" w:cs="Tahoma"/>
          <w:color w:val="000000"/>
        </w:rPr>
        <w:lastRenderedPageBreak/>
        <w:t>= 0,61; p &lt; 0,01; n = 64). Водночас у групі підприємств з оборотом до 3 млн грн зв'язок виявився статистично незначущим (p = 0,37)»</w:t>
      </w:r>
    </w:p>
    <w:p w14:paraId="1D7E8435" w14:textId="6E2B7844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Публікація результатів, які дублюють раніше опубліковані автором або іншими дослідниками результати без їх суттєвого розвитку чи нового застосування.</w:t>
      </w:r>
    </w:p>
    <w:p w14:paraId="19A2B9C7" w14:textId="14B1BDD2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УВАГА: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Переказ теоретичних положень або загальновідомих фактів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не є результатами дослідження</w:t>
      </w:r>
      <w:r w:rsidRPr="00011D96">
        <w:rPr>
          <w:rFonts w:ascii="Tahoma" w:hAnsi="Tahoma" w:cs="Tahoma"/>
          <w:color w:val="000000"/>
        </w:rPr>
        <w:t>. У цьому розділі мають бути ВАШІ дані.</w:t>
      </w:r>
    </w:p>
    <w:p w14:paraId="12BDB693" w14:textId="77777777" w:rsidR="00011D96" w:rsidRPr="00011D96" w:rsidRDefault="002D244A" w:rsidP="00011D96">
      <w:pPr>
        <w:jc w:val="both"/>
        <w:rPr>
          <w:rFonts w:ascii="Tahoma" w:hAnsi="Tahoma" w:cs="Tahoma"/>
          <w:sz w:val="24"/>
          <w:szCs w:val="24"/>
        </w:rPr>
      </w:pPr>
      <w:r w:rsidRPr="00011D96">
        <w:rPr>
          <w:rFonts w:ascii="Tahoma" w:hAnsi="Tahoma" w:cs="Tahoma"/>
          <w:noProof/>
          <w:sz w:val="24"/>
          <w:szCs w:val="24"/>
        </w:rPr>
        <w:pict w14:anchorId="72170D70">
          <v:rect id="_x0000_i1025" style="width:0;height:1.5pt" o:hralign="center" o:hrstd="t" o:hr="t" fillcolor="#a0a0a0" stroked="f"/>
        </w:pict>
      </w:r>
    </w:p>
    <w:p w14:paraId="1311F07C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ОБГОВОРЕННЯ</w:t>
      </w:r>
    </w:p>
    <w:p w14:paraId="324378AC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t>Обговорення відповідає на питання: «Що означають отримані результати?»</w:t>
      </w:r>
    </w:p>
    <w:p w14:paraId="61793E17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Інтерпретація результатів</w:t>
      </w:r>
    </w:p>
    <w:p w14:paraId="034FEFDF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Поясніть, чому ви отримали саме такі результати. Які механізми чи закономірності за ними стоять?</w:t>
      </w:r>
    </w:p>
    <w:p w14:paraId="2CB1E6A0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Порівняння з іншими дослідженнями</w:t>
      </w:r>
    </w:p>
    <w:p w14:paraId="3FE94CD6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Порівняйте ваші результати з результатами інших авторів. Збігаються вони чи відрізняються? Чим можна пояснити відмінності?</w:t>
      </w:r>
    </w:p>
    <w:p w14:paraId="74358DDF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«Отримані результати узгоджуються з висновками Smith J. [12] щодо позитивного впливу цифровізації платежів на рентабельність, проте суперечать даним Chen L. [14], який зафіксував зростання витрат для малих підприємств. Ця відмінність може пояснюватися нижчими ставками еквайрингу на українському ринку порівняно з досліджуваними ним юрисдикціями»</w:t>
      </w:r>
    </w:p>
    <w:p w14:paraId="4590A5F0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Наукова новизна (розгорнуто)</w:t>
      </w:r>
    </w:p>
    <w:p w14:paraId="593AC0AD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Детально поясніть, що нового вносить ваше дослідження. Використовуйте стандартні формулювання:</w:t>
      </w:r>
    </w:p>
    <w:p w14:paraId="3DFE9A8B" w14:textId="77777777" w:rsidR="00011D96" w:rsidRPr="00011D96" w:rsidRDefault="00011D96" w:rsidP="00011D96">
      <w:pPr>
        <w:pStyle w:val="font-claude-response-body"/>
        <w:numPr>
          <w:ilvl w:val="0"/>
          <w:numId w:val="35"/>
        </w:numPr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«Вперше...»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— для принципово нових результатів</w:t>
      </w:r>
    </w:p>
    <w:p w14:paraId="6B7B9D56" w14:textId="77777777" w:rsidR="00011D96" w:rsidRPr="00011D96" w:rsidRDefault="00011D96" w:rsidP="00011D96">
      <w:pPr>
        <w:pStyle w:val="font-claude-response-body"/>
        <w:numPr>
          <w:ilvl w:val="0"/>
          <w:numId w:val="35"/>
        </w:numPr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«Удосконалено...»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— для покращення наявних методів, моделей, підходів</w:t>
      </w:r>
    </w:p>
    <w:p w14:paraId="004FDA17" w14:textId="77777777" w:rsidR="00011D96" w:rsidRPr="00011D96" w:rsidRDefault="00011D96" w:rsidP="00011D96">
      <w:pPr>
        <w:pStyle w:val="font-claude-response-body"/>
        <w:numPr>
          <w:ilvl w:val="0"/>
          <w:numId w:val="35"/>
        </w:numPr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«Набуло подальшого розвитку...»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— для розвитку та уточнення відомих положень</w:t>
      </w:r>
    </w:p>
    <w:p w14:paraId="126E62C6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Практичне значення (розгорнуто)</w:t>
      </w:r>
    </w:p>
    <w:p w14:paraId="2FD0052C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Поясніть, як результати можуть бути використані на практиці. Хто є потенційним користувачем? Які конкретні рішення можна ухвалити на основі ваших результатів?</w:t>
      </w:r>
    </w:p>
    <w:p w14:paraId="2B2F4796" w14:textId="03243B16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 xml:space="preserve">«Запропонована методика може використовуватися фінансовими менеджерами підприємств роздрібної торгівлі для обґрунтування вибору еквайрингового провайдера. Апробація методики на 5 підприємствах Львівської </w:t>
      </w:r>
      <w:r w:rsidRPr="00011D96">
        <w:rPr>
          <w:rFonts w:ascii="Tahoma" w:hAnsi="Tahoma" w:cs="Tahoma"/>
          <w:color w:val="000000"/>
        </w:rPr>
        <w:lastRenderedPageBreak/>
        <w:t>області дозволила знизити транзакційні витрати в середньому на 11,2% за рахунок перерозподілу платіжних потоків між інструментами»</w:t>
      </w:r>
    </w:p>
    <w:p w14:paraId="4FDA12F8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ВИСНОВКИ</w:t>
      </w:r>
    </w:p>
    <w:p w14:paraId="7C1686E3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t>Висновки відповідають на питання: «Що автор довів/встановив?»</w:t>
      </w:r>
    </w:p>
    <w:p w14:paraId="0741A7A8" w14:textId="1FFB7404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ПІДСТАВА ДЛЯ ВІДХИЛЕННЯ: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Висновки, які не відповідають меті дослідження або не випливають із представлених результатів.</w:t>
      </w:r>
    </w:p>
    <w:p w14:paraId="7CC98ECD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Вимоги до висновків:</w:t>
      </w:r>
    </w:p>
    <w:p w14:paraId="5B784635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Висновки повинні прямо відповідати меті, сформульованій у вступі</w:t>
      </w:r>
    </w:p>
    <w:p w14:paraId="302A4322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Кожен висновок має випливати з результатів, представлених у статті</w:t>
      </w:r>
    </w:p>
    <w:p w14:paraId="605E4E0F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Висновки формулюються як констатація фактів, а не як опис процесу дослідження</w:t>
      </w:r>
    </w:p>
    <w:p w14:paraId="1CE58612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повторюйте текст анотації</w:t>
      </w:r>
    </w:p>
    <w:p w14:paraId="2C55143E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вводьте нову інформацію, якої немає в тексті статті</w:t>
      </w:r>
    </w:p>
    <w:p w14:paraId="56F64EBC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Кількість висновків: 3–6</w:t>
      </w:r>
    </w:p>
    <w:p w14:paraId="423775B0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Останнім абзацом вкажіть перспективи подальших досліджень</w:t>
      </w:r>
    </w:p>
    <w:p w14:paraId="64AAB049" w14:textId="77777777" w:rsidR="00011D96" w:rsidRPr="00011D96" w:rsidRDefault="00011D96" w:rsidP="00011D96">
      <w:pPr>
        <w:pStyle w:val="font-claude-response-body"/>
        <w:numPr>
          <w:ilvl w:val="0"/>
          <w:numId w:val="36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У висновках не допускається цитування джерел</w:t>
      </w:r>
    </w:p>
    <w:p w14:paraId="0339C813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НЕПРАВИЛЬНО: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«У статті було досліджено вплив безготівкових розрахунків на діяльність підприємств»</w:t>
      </w:r>
    </w:p>
    <w:p w14:paraId="27B77D1B" w14:textId="3A21C74B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11D96">
        <w:rPr>
          <w:rStyle w:val="Strong"/>
          <w:rFonts w:ascii="Tahoma" w:hAnsi="Tahoma" w:cs="Tahoma"/>
          <w:color w:val="000000"/>
        </w:rPr>
        <w:t>ПРАВИЛЬНО: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«Встановлено, що зростання частки безготівкових розрахунків підвищує рентабельність продажів підприємств з оборотом понад 3 млн грн у середньому на 0,8 в.п. на кожні 10 в.п. приросту, тоді як для мікропідприємств цей ефект нівелюється фіксованою складовою комісії»</w:t>
      </w:r>
    </w:p>
    <w:p w14:paraId="565CE4A1" w14:textId="132C3D5C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11D96">
        <w:rPr>
          <w:rStyle w:val="Strong"/>
          <w:rFonts w:ascii="Tahoma" w:hAnsi="Tahoma" w:cs="Tahoma"/>
          <w:color w:val="000000"/>
        </w:rPr>
        <w:t>Подяки.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Подяки людям, грантам, фондам тощо розміщуються в окремому ненумерованому розділі наприкінці статті (за наявності).</w:t>
      </w:r>
    </w:p>
    <w:p w14:paraId="44BBDC7D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СПИСОК ВИКОРИСТАНИХ ДЖЕРЕЛ / REFERENCES</w:t>
      </w:r>
    </w:p>
    <w:p w14:paraId="760685BE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Список джерел оформлюється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двічі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відповідно до шаблону:</w:t>
      </w:r>
    </w:p>
    <w:p w14:paraId="7345BE29" w14:textId="77777777" w:rsidR="00011D96" w:rsidRPr="00011D96" w:rsidRDefault="00011D96" w:rsidP="00011D96">
      <w:pPr>
        <w:pStyle w:val="font-claude-response-body"/>
        <w:numPr>
          <w:ilvl w:val="0"/>
          <w:numId w:val="37"/>
        </w:numPr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Список використаних джерел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— мовою оригіналу, за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ДСТУ 8302:2015</w:t>
      </w:r>
    </w:p>
    <w:p w14:paraId="559D1990" w14:textId="77777777" w:rsidR="00011D96" w:rsidRPr="00011D96" w:rsidRDefault="00011D96" w:rsidP="00011D96">
      <w:pPr>
        <w:pStyle w:val="font-claude-response-body"/>
        <w:numPr>
          <w:ilvl w:val="0"/>
          <w:numId w:val="37"/>
        </w:numPr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References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— транслітерований та перекладений англійською, за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APA 7th edition</w:t>
      </w:r>
    </w:p>
    <w:p w14:paraId="06EA8E18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Вимоги до джерел:</w:t>
      </w:r>
    </w:p>
    <w:p w14:paraId="6F59EDF5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Мінімальна кількість джерел: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15</w:t>
      </w:r>
    </w:p>
    <w:p w14:paraId="680AB588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менше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30%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джерел — іноземні</w:t>
      </w:r>
    </w:p>
    <w:p w14:paraId="7DE3010A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менше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50%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джерел — за останні 5 років</w:t>
      </w:r>
    </w:p>
    <w:p w14:paraId="08ABC649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менше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половини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джерел — публікації, проіндексовані у Web of Science Core Collection та/або Scopus</w:t>
      </w:r>
    </w:p>
    <w:p w14:paraId="40E29657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Самоцитування — не більше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15%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від загальної кількості джерел</w:t>
      </w:r>
    </w:p>
    <w:p w14:paraId="4FAE6DCF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більше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двох робіт одного автора</w:t>
      </w:r>
    </w:p>
    <w:p w14:paraId="71B76EBF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lastRenderedPageBreak/>
        <w:t>Уникайте посилань на підручники, навчальні посібники, енциклопедії, Вікіпедію</w:t>
      </w:r>
    </w:p>
    <w:p w14:paraId="25207958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Не посилайтеся на джерела, яких ви не читали</w:t>
      </w:r>
    </w:p>
    <w:p w14:paraId="69DBE448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Заборонено вторинне цитування</w:t>
      </w:r>
    </w:p>
    <w:p w14:paraId="33D18AA7" w14:textId="77777777" w:rsidR="00011D96" w:rsidRPr="00011D96" w:rsidRDefault="00011D96" w:rsidP="00011D96">
      <w:pPr>
        <w:pStyle w:val="font-claude-response-body"/>
        <w:numPr>
          <w:ilvl w:val="0"/>
          <w:numId w:val="38"/>
        </w:numPr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Заборонено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цитування джерел, опублікованих російською мовою в будь-якій країні, а також іншими мовами на території росії та білорусі</w:t>
      </w:r>
    </w:p>
    <w:p w14:paraId="08C1031C" w14:textId="77777777" w:rsidR="00011D96" w:rsidRPr="00011D96" w:rsidRDefault="00011D96" w:rsidP="00011D96">
      <w:pPr>
        <w:pStyle w:val="Heading4"/>
        <w:jc w:val="both"/>
        <w:rPr>
          <w:rFonts w:ascii="Tahoma" w:hAnsi="Tahoma" w:cs="Tahoma"/>
          <w:color w:val="000000"/>
          <w:sz w:val="24"/>
          <w:szCs w:val="24"/>
        </w:rPr>
      </w:pPr>
      <w:r w:rsidRPr="00011D96">
        <w:rPr>
          <w:rFonts w:ascii="Tahoma" w:hAnsi="Tahoma" w:cs="Tahoma"/>
          <w:color w:val="000000"/>
          <w:sz w:val="24"/>
          <w:szCs w:val="24"/>
        </w:rPr>
        <w:t>ОБОВ'ЯЗКОВА ВИМОГА ЩОДО DOI</w:t>
      </w:r>
    </w:p>
    <w:p w14:paraId="6FA105DC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Більше 50% джерел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у списку використаних джерел повинні містити DOI.</w:t>
      </w:r>
    </w:p>
    <w:p w14:paraId="0F6ACE13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Ця вимога є критерієм рейтингового оцінювання видання відповідно до Порядку формування Переліку наукових фахових видань України (Додаток 4). Недотримання знижує рейтинг видання та може стати підставою для повернення статті на доопрацювання.</w:t>
      </w:r>
    </w:p>
    <w:p w14:paraId="0F7059D7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DOI можна знайти:</w:t>
      </w:r>
    </w:p>
    <w:p w14:paraId="643343A7" w14:textId="77777777" w:rsidR="00011D96" w:rsidRPr="00011D96" w:rsidRDefault="00011D96" w:rsidP="00011D96">
      <w:pPr>
        <w:pStyle w:val="font-claude-response-body"/>
        <w:numPr>
          <w:ilvl w:val="0"/>
          <w:numId w:val="3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на сторінці статті у журналі</w:t>
      </w:r>
    </w:p>
    <w:p w14:paraId="1DB74080" w14:textId="77777777" w:rsidR="00011D96" w:rsidRPr="00011D96" w:rsidRDefault="00011D96" w:rsidP="00011D96">
      <w:pPr>
        <w:pStyle w:val="font-claude-response-body"/>
        <w:numPr>
          <w:ilvl w:val="0"/>
          <w:numId w:val="3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у наукометричних базах (Scopus, Web of Science, Google Scholar)</w:t>
      </w:r>
    </w:p>
    <w:p w14:paraId="1A323862" w14:textId="77777777" w:rsidR="00011D96" w:rsidRPr="00011D96" w:rsidRDefault="00011D96" w:rsidP="00011D96">
      <w:pPr>
        <w:pStyle w:val="font-claude-response-body"/>
        <w:numPr>
          <w:ilvl w:val="0"/>
          <w:numId w:val="3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через сервіс Crossref: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hyperlink r:id="rId7" w:history="1">
        <w:r w:rsidRPr="00011D96">
          <w:rPr>
            <w:rStyle w:val="Hyperlink"/>
            <w:rFonts w:ascii="Tahoma" w:hAnsi="Tahoma" w:cs="Tahoma"/>
          </w:rPr>
          <w:t>https://search.crossref.org</w:t>
        </w:r>
      </w:hyperlink>
    </w:p>
    <w:p w14:paraId="13A9BED4" w14:textId="77777777" w:rsidR="00011D96" w:rsidRPr="00011D96" w:rsidRDefault="00011D96" w:rsidP="00011D96">
      <w:pPr>
        <w:pStyle w:val="font-claude-response-body"/>
        <w:numPr>
          <w:ilvl w:val="0"/>
          <w:numId w:val="39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через сервіс DOI: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hyperlink r:id="rId8" w:history="1">
        <w:r w:rsidRPr="00011D96">
          <w:rPr>
            <w:rStyle w:val="Hyperlink"/>
            <w:rFonts w:ascii="Tahoma" w:hAnsi="Tahoma" w:cs="Tahoma"/>
          </w:rPr>
          <w:t>https://doi.org</w:t>
        </w:r>
      </w:hyperlink>
    </w:p>
    <w:p w14:paraId="720A7978" w14:textId="233A9AF6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УВАГА: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Кожне джерело у списку повинно мати посилання у тексті статті. Джерела без посилань у тексті видаляються.</w:t>
      </w:r>
    </w:p>
    <w:p w14:paraId="16E2E21D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Зразок оформлення джерела з DOI (ДСТУ 8302:2015):</w:t>
      </w:r>
    </w:p>
    <w:p w14:paraId="19092D35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Іваненко О. П. Цифрова трансформація фінансових послуг в умовах нестабільності.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Emphasis"/>
          <w:rFonts w:ascii="Tahoma" w:hAnsi="Tahoma" w:cs="Tahoma"/>
          <w:color w:val="000000"/>
        </w:rPr>
        <w:t>Актуальні питання економічних наук</w:t>
      </w:r>
      <w:r w:rsidRPr="00011D96">
        <w:rPr>
          <w:rFonts w:ascii="Tahoma" w:hAnsi="Tahoma" w:cs="Tahoma"/>
          <w:color w:val="000000"/>
        </w:rPr>
        <w:t>. 2025. № 18. С. 45–58. DOI: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hyperlink r:id="rId9" w:history="1">
        <w:r w:rsidRPr="00011D96">
          <w:rPr>
            <w:rStyle w:val="Hyperlink"/>
            <w:rFonts w:ascii="Tahoma" w:hAnsi="Tahoma" w:cs="Tahoma"/>
          </w:rPr>
          <w:t>https://doi.org/10.xxxxx/xxxxx</w:t>
        </w:r>
      </w:hyperlink>
    </w:p>
    <w:p w14:paraId="1018065A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Strong"/>
          <w:rFonts w:ascii="Tahoma" w:hAnsi="Tahoma" w:cs="Tahoma"/>
          <w:color w:val="000000"/>
        </w:rPr>
        <w:t>Зразок оформлення для References (APA 7):</w:t>
      </w:r>
    </w:p>
    <w:p w14:paraId="2E246520" w14:textId="2BCD386D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  <w:lang w:val="uk-UA"/>
        </w:rPr>
      </w:pPr>
      <w:r w:rsidRPr="00011D96">
        <w:rPr>
          <w:rFonts w:ascii="Tahoma" w:hAnsi="Tahoma" w:cs="Tahoma"/>
          <w:color w:val="000000"/>
        </w:rPr>
        <w:t>Ivanenko, O. P. (2025). Tsyfrova transformatsiia finansovykh posluh v umovakh nestabilnosti [Digital transformation of financial services under instability].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Emphasis"/>
          <w:rFonts w:ascii="Tahoma" w:hAnsi="Tahoma" w:cs="Tahoma"/>
          <w:color w:val="000000"/>
        </w:rPr>
        <w:t>Aktualni pytannia ekonomichnykh nauk</w:t>
      </w:r>
      <w:r w:rsidRPr="00011D96">
        <w:rPr>
          <w:rFonts w:ascii="Tahoma" w:hAnsi="Tahoma" w:cs="Tahoma"/>
          <w:color w:val="000000"/>
        </w:rPr>
        <w:t>, (18), 45–58.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hyperlink r:id="rId10" w:history="1">
        <w:r w:rsidRPr="00011D96">
          <w:rPr>
            <w:rStyle w:val="Hyperlink"/>
            <w:rFonts w:ascii="Tahoma" w:hAnsi="Tahoma" w:cs="Tahoma"/>
          </w:rPr>
          <w:t>https://doi.org/10.xxxxx/xxxxx</w:t>
        </w:r>
      </w:hyperlink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Fonts w:ascii="Tahoma" w:hAnsi="Tahoma" w:cs="Tahoma"/>
          <w:color w:val="000000"/>
        </w:rPr>
        <w:t>[in Ukrainian]</w:t>
      </w:r>
    </w:p>
    <w:p w14:paraId="45484F92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ПОЛІТИКА ВИДАВНИЧОЇ ПРОЗОРОСТІ</w:t>
      </w:r>
    </w:p>
    <w:p w14:paraId="022170CE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Відповідно до вимог Порядку формування Переліку наукових фахових видань України</w:t>
      </w:r>
      <w:r w:rsidRPr="00011D96">
        <w:rPr>
          <w:rStyle w:val="apple-converted-space"/>
          <w:rFonts w:ascii="Tahoma" w:hAnsi="Tahoma" w:cs="Tahoma"/>
          <w:color w:val="000000"/>
        </w:rPr>
        <w:t> </w:t>
      </w:r>
      <w:r w:rsidRPr="00011D96">
        <w:rPr>
          <w:rStyle w:val="Strong"/>
          <w:rFonts w:ascii="Tahoma" w:hAnsi="Tahoma" w:cs="Tahoma"/>
          <w:color w:val="000000"/>
        </w:rPr>
        <w:t>в одному випуску (номері) журналу не може бути опубліковано більше ніж одну статтю одного автора (співавтора)</w:t>
      </w:r>
      <w:r w:rsidRPr="00011D96">
        <w:rPr>
          <w:rFonts w:ascii="Tahoma" w:hAnsi="Tahoma" w:cs="Tahoma"/>
          <w:color w:val="000000"/>
        </w:rPr>
        <w:t>. Друга і наступні статті того самого автора переносяться до наступного випуску.</w:t>
      </w:r>
    </w:p>
    <w:p w14:paraId="57F13D5E" w14:textId="694C0A6B" w:rsid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05AC7BC2" w14:textId="77777777" w:rsid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26933FEC" w14:textId="77777777" w:rsid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22A899D2" w14:textId="77777777" w:rsidR="00011D96" w:rsidRPr="00011D96" w:rsidRDefault="00011D96" w:rsidP="00011D96">
      <w:pPr>
        <w:jc w:val="both"/>
        <w:rPr>
          <w:rFonts w:ascii="Tahoma" w:hAnsi="Tahoma" w:cs="Tahoma"/>
          <w:sz w:val="24"/>
          <w:szCs w:val="24"/>
        </w:rPr>
      </w:pPr>
    </w:p>
    <w:p w14:paraId="5CCC1145" w14:textId="77777777" w:rsidR="00011D96" w:rsidRPr="00011D96" w:rsidRDefault="00011D96" w:rsidP="00011D96">
      <w:pPr>
        <w:pStyle w:val="Heading3"/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lastRenderedPageBreak/>
        <w:t>СТАТТЮ БУДЕ ВІДХИЛЕНО, ЯКЩО:</w:t>
      </w:r>
    </w:p>
    <w:p w14:paraId="1BBF77E8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Стаття подана не на основі офіційного шаблону або з порушенням його структури</w:t>
      </w:r>
    </w:p>
    <w:p w14:paraId="1B67D214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Відсутня чітко сформульована наукова проблема</w:t>
      </w:r>
    </w:p>
    <w:p w14:paraId="78F31816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Мета статті сформульована як процес, а не як результат</w:t>
      </w:r>
    </w:p>
    <w:p w14:paraId="20F0077E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Відсутній або формально описаний розділ методології</w:t>
      </w:r>
    </w:p>
    <w:p w14:paraId="335C3E39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Результати не містять оригінальних даних автора — лише переказ літератури</w:t>
      </w:r>
    </w:p>
    <w:p w14:paraId="74CBD530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Результати дублюють раніше опубліковані без суттєвого розвитку</w:t>
      </w:r>
    </w:p>
    <w:p w14:paraId="4ABE9364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Висновки не відповідають меті дослідження</w:t>
      </w:r>
    </w:p>
    <w:p w14:paraId="0C292E09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Висновки не випливають із представлених результатів</w:t>
      </w:r>
    </w:p>
    <w:p w14:paraId="22D7C66B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Анотація не містить результатів дослідження</w:t>
      </w:r>
    </w:p>
    <w:p w14:paraId="4AE3C4B9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Відсутній ORCID хоча б одного автора</w:t>
      </w:r>
    </w:p>
    <w:p w14:paraId="1EFEBC7C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Менше 50% джерел містять DOI</w:t>
      </w:r>
    </w:p>
    <w:p w14:paraId="2D919B45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Список джерел не відповідає іншим встановленим вимогам</w:t>
      </w:r>
    </w:p>
    <w:p w14:paraId="45FE5EB6" w14:textId="77777777" w:rsidR="00011D96" w:rsidRPr="00011D96" w:rsidRDefault="00011D96" w:rsidP="00011D96">
      <w:pPr>
        <w:pStyle w:val="font-claude-response-body"/>
        <w:numPr>
          <w:ilvl w:val="0"/>
          <w:numId w:val="40"/>
        </w:numPr>
        <w:jc w:val="both"/>
        <w:rPr>
          <w:rFonts w:ascii="Tahoma" w:hAnsi="Tahoma" w:cs="Tahoma"/>
          <w:color w:val="000000"/>
        </w:rPr>
      </w:pPr>
      <w:r w:rsidRPr="00011D96">
        <w:rPr>
          <w:rFonts w:ascii="Tahoma" w:hAnsi="Tahoma" w:cs="Tahoma"/>
          <w:color w:val="000000"/>
        </w:rPr>
        <w:t>Виявлено ознаки плагіату, некоректних запозичень або порушення публікаційної етики</w:t>
      </w:r>
    </w:p>
    <w:p w14:paraId="4A84523E" w14:textId="77777777" w:rsidR="00011D96" w:rsidRPr="00011D96" w:rsidRDefault="00011D96" w:rsidP="00011D96">
      <w:pPr>
        <w:pStyle w:val="font-claude-response-body"/>
        <w:jc w:val="both"/>
        <w:rPr>
          <w:rFonts w:ascii="Tahoma" w:hAnsi="Tahoma" w:cs="Tahoma"/>
          <w:color w:val="000000"/>
        </w:rPr>
      </w:pPr>
      <w:r w:rsidRPr="00011D96">
        <w:rPr>
          <w:rStyle w:val="Emphasis"/>
          <w:rFonts w:ascii="Tahoma" w:hAnsi="Tahoma" w:cs="Tahoma"/>
          <w:color w:val="000000"/>
        </w:rPr>
        <w:t>Рішення редакційної колегії щодо відповідності статті цим вимогам є остаточним і оскарженню не підлягає.</w:t>
      </w:r>
    </w:p>
    <w:p w14:paraId="1D1A1891" w14:textId="4E1DFEAA" w:rsidR="000E262C" w:rsidRPr="00011D96" w:rsidRDefault="000E262C" w:rsidP="00011D96">
      <w:pPr>
        <w:jc w:val="both"/>
        <w:rPr>
          <w:rFonts w:ascii="Tahoma" w:hAnsi="Tahoma" w:cs="Tahoma"/>
          <w:sz w:val="24"/>
          <w:szCs w:val="24"/>
        </w:rPr>
      </w:pPr>
    </w:p>
    <w:sectPr w:rsidR="000E262C" w:rsidRPr="00011D96" w:rsidSect="0099176E">
      <w:pgSz w:w="11906" w:h="16838"/>
      <w:pgMar w:top="1134" w:right="1134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17808"/>
    <w:multiLevelType w:val="multilevel"/>
    <w:tmpl w:val="5B1CB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D378A"/>
    <w:multiLevelType w:val="multilevel"/>
    <w:tmpl w:val="B428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D046C"/>
    <w:multiLevelType w:val="multilevel"/>
    <w:tmpl w:val="9026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E6650"/>
    <w:multiLevelType w:val="multilevel"/>
    <w:tmpl w:val="CF26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5B437B"/>
    <w:multiLevelType w:val="multilevel"/>
    <w:tmpl w:val="208E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C609E1"/>
    <w:multiLevelType w:val="multilevel"/>
    <w:tmpl w:val="6408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942112"/>
    <w:multiLevelType w:val="multilevel"/>
    <w:tmpl w:val="CAF2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B0061"/>
    <w:multiLevelType w:val="multilevel"/>
    <w:tmpl w:val="7ACA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A4278"/>
    <w:multiLevelType w:val="multilevel"/>
    <w:tmpl w:val="4C14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87938"/>
    <w:multiLevelType w:val="multilevel"/>
    <w:tmpl w:val="64FA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202198"/>
    <w:multiLevelType w:val="multilevel"/>
    <w:tmpl w:val="0B9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F4A83"/>
    <w:multiLevelType w:val="hybridMultilevel"/>
    <w:tmpl w:val="9E92C3FE"/>
    <w:lvl w:ilvl="0" w:tplc="96248054">
      <w:start w:val="1"/>
      <w:numFmt w:val="bullet"/>
      <w:lvlText w:val="•"/>
      <w:lvlJc w:val="left"/>
      <w:pPr>
        <w:ind w:left="540" w:hanging="360"/>
      </w:pPr>
    </w:lvl>
    <w:lvl w:ilvl="1" w:tplc="97F049AC">
      <w:numFmt w:val="decimal"/>
      <w:lvlText w:val=""/>
      <w:lvlJc w:val="left"/>
    </w:lvl>
    <w:lvl w:ilvl="2" w:tplc="B6FC8F12">
      <w:numFmt w:val="decimal"/>
      <w:lvlText w:val=""/>
      <w:lvlJc w:val="left"/>
    </w:lvl>
    <w:lvl w:ilvl="3" w:tplc="450067F6">
      <w:numFmt w:val="decimal"/>
      <w:lvlText w:val=""/>
      <w:lvlJc w:val="left"/>
    </w:lvl>
    <w:lvl w:ilvl="4" w:tplc="A2F87426">
      <w:numFmt w:val="decimal"/>
      <w:lvlText w:val=""/>
      <w:lvlJc w:val="left"/>
    </w:lvl>
    <w:lvl w:ilvl="5" w:tplc="38B6F490">
      <w:numFmt w:val="decimal"/>
      <w:lvlText w:val=""/>
      <w:lvlJc w:val="left"/>
    </w:lvl>
    <w:lvl w:ilvl="6" w:tplc="C8B66DF0">
      <w:numFmt w:val="decimal"/>
      <w:lvlText w:val=""/>
      <w:lvlJc w:val="left"/>
    </w:lvl>
    <w:lvl w:ilvl="7" w:tplc="EEA60FD4">
      <w:numFmt w:val="decimal"/>
      <w:lvlText w:val=""/>
      <w:lvlJc w:val="left"/>
    </w:lvl>
    <w:lvl w:ilvl="8" w:tplc="845640C0">
      <w:numFmt w:val="decimal"/>
      <w:lvlText w:val=""/>
      <w:lvlJc w:val="left"/>
    </w:lvl>
  </w:abstractNum>
  <w:abstractNum w:abstractNumId="12" w15:restartNumberingAfterBreak="0">
    <w:nsid w:val="379A4533"/>
    <w:multiLevelType w:val="multilevel"/>
    <w:tmpl w:val="DC4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A53E8C"/>
    <w:multiLevelType w:val="multilevel"/>
    <w:tmpl w:val="79620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1F41F9"/>
    <w:multiLevelType w:val="multilevel"/>
    <w:tmpl w:val="73DC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46622D"/>
    <w:multiLevelType w:val="hybridMultilevel"/>
    <w:tmpl w:val="2F6A4A2E"/>
    <w:lvl w:ilvl="0" w:tplc="1D50FA74">
      <w:start w:val="1"/>
      <w:numFmt w:val="decimal"/>
      <w:lvlText w:val="%1."/>
      <w:lvlJc w:val="left"/>
      <w:pPr>
        <w:ind w:left="540" w:hanging="360"/>
      </w:pPr>
    </w:lvl>
    <w:lvl w:ilvl="1" w:tplc="D92C0380">
      <w:numFmt w:val="decimal"/>
      <w:lvlText w:val=""/>
      <w:lvlJc w:val="left"/>
    </w:lvl>
    <w:lvl w:ilvl="2" w:tplc="88081052">
      <w:numFmt w:val="decimal"/>
      <w:lvlText w:val=""/>
      <w:lvlJc w:val="left"/>
    </w:lvl>
    <w:lvl w:ilvl="3" w:tplc="80387C36">
      <w:numFmt w:val="decimal"/>
      <w:lvlText w:val=""/>
      <w:lvlJc w:val="left"/>
    </w:lvl>
    <w:lvl w:ilvl="4" w:tplc="BC06CBB4">
      <w:numFmt w:val="decimal"/>
      <w:lvlText w:val=""/>
      <w:lvlJc w:val="left"/>
    </w:lvl>
    <w:lvl w:ilvl="5" w:tplc="2C08AECE">
      <w:numFmt w:val="decimal"/>
      <w:lvlText w:val=""/>
      <w:lvlJc w:val="left"/>
    </w:lvl>
    <w:lvl w:ilvl="6" w:tplc="CA7A52E0">
      <w:numFmt w:val="decimal"/>
      <w:lvlText w:val=""/>
      <w:lvlJc w:val="left"/>
    </w:lvl>
    <w:lvl w:ilvl="7" w:tplc="F466ADB6">
      <w:numFmt w:val="decimal"/>
      <w:lvlText w:val=""/>
      <w:lvlJc w:val="left"/>
    </w:lvl>
    <w:lvl w:ilvl="8" w:tplc="93FEE114">
      <w:numFmt w:val="decimal"/>
      <w:lvlText w:val=""/>
      <w:lvlJc w:val="left"/>
    </w:lvl>
  </w:abstractNum>
  <w:abstractNum w:abstractNumId="16" w15:restartNumberingAfterBreak="0">
    <w:nsid w:val="3E3E162D"/>
    <w:multiLevelType w:val="multilevel"/>
    <w:tmpl w:val="C4A0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AA156B"/>
    <w:multiLevelType w:val="multilevel"/>
    <w:tmpl w:val="9D06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2F5A5F"/>
    <w:multiLevelType w:val="hybridMultilevel"/>
    <w:tmpl w:val="70D871EC"/>
    <w:lvl w:ilvl="0" w:tplc="FB2EDDB0">
      <w:start w:val="1"/>
      <w:numFmt w:val="bullet"/>
      <w:lvlText w:val="●"/>
      <w:lvlJc w:val="left"/>
      <w:pPr>
        <w:ind w:left="720" w:hanging="360"/>
      </w:pPr>
    </w:lvl>
    <w:lvl w:ilvl="1" w:tplc="3F0CFD8C">
      <w:start w:val="1"/>
      <w:numFmt w:val="bullet"/>
      <w:lvlText w:val="○"/>
      <w:lvlJc w:val="left"/>
      <w:pPr>
        <w:ind w:left="1440" w:hanging="360"/>
      </w:pPr>
    </w:lvl>
    <w:lvl w:ilvl="2" w:tplc="7ED4EF28">
      <w:start w:val="1"/>
      <w:numFmt w:val="bullet"/>
      <w:lvlText w:val="■"/>
      <w:lvlJc w:val="left"/>
      <w:pPr>
        <w:ind w:left="2160" w:hanging="360"/>
      </w:pPr>
    </w:lvl>
    <w:lvl w:ilvl="3" w:tplc="714855D0">
      <w:start w:val="1"/>
      <w:numFmt w:val="bullet"/>
      <w:lvlText w:val="●"/>
      <w:lvlJc w:val="left"/>
      <w:pPr>
        <w:ind w:left="2880" w:hanging="360"/>
      </w:pPr>
    </w:lvl>
    <w:lvl w:ilvl="4" w:tplc="8D324302">
      <w:start w:val="1"/>
      <w:numFmt w:val="bullet"/>
      <w:lvlText w:val="○"/>
      <w:lvlJc w:val="left"/>
      <w:pPr>
        <w:ind w:left="3600" w:hanging="360"/>
      </w:pPr>
    </w:lvl>
    <w:lvl w:ilvl="5" w:tplc="1840B7FA">
      <w:start w:val="1"/>
      <w:numFmt w:val="bullet"/>
      <w:lvlText w:val="■"/>
      <w:lvlJc w:val="left"/>
      <w:pPr>
        <w:ind w:left="4320" w:hanging="360"/>
      </w:pPr>
    </w:lvl>
    <w:lvl w:ilvl="6" w:tplc="A6384DDE">
      <w:start w:val="1"/>
      <w:numFmt w:val="bullet"/>
      <w:lvlText w:val="●"/>
      <w:lvlJc w:val="left"/>
      <w:pPr>
        <w:ind w:left="5040" w:hanging="360"/>
      </w:pPr>
    </w:lvl>
    <w:lvl w:ilvl="7" w:tplc="9B549674">
      <w:start w:val="1"/>
      <w:numFmt w:val="bullet"/>
      <w:lvlText w:val="●"/>
      <w:lvlJc w:val="left"/>
      <w:pPr>
        <w:ind w:left="5760" w:hanging="360"/>
      </w:pPr>
    </w:lvl>
    <w:lvl w:ilvl="8" w:tplc="7C72A368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499D4F09"/>
    <w:multiLevelType w:val="multilevel"/>
    <w:tmpl w:val="C36E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0A2D2F"/>
    <w:multiLevelType w:val="multilevel"/>
    <w:tmpl w:val="3958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9B66B3"/>
    <w:multiLevelType w:val="multilevel"/>
    <w:tmpl w:val="6BF0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C69B4"/>
    <w:multiLevelType w:val="multilevel"/>
    <w:tmpl w:val="D6E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F513DC"/>
    <w:multiLevelType w:val="multilevel"/>
    <w:tmpl w:val="42FE8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6D49CC"/>
    <w:multiLevelType w:val="multilevel"/>
    <w:tmpl w:val="9E92F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252F3E"/>
    <w:multiLevelType w:val="multilevel"/>
    <w:tmpl w:val="15D8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DB7940"/>
    <w:multiLevelType w:val="multilevel"/>
    <w:tmpl w:val="9F82D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A656C8"/>
    <w:multiLevelType w:val="multilevel"/>
    <w:tmpl w:val="E43A2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E0F83"/>
    <w:multiLevelType w:val="multilevel"/>
    <w:tmpl w:val="8D42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575F73"/>
    <w:multiLevelType w:val="multilevel"/>
    <w:tmpl w:val="F270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1A15EB"/>
    <w:multiLevelType w:val="multilevel"/>
    <w:tmpl w:val="36AA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2A3E17"/>
    <w:multiLevelType w:val="multilevel"/>
    <w:tmpl w:val="75FC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7004B5"/>
    <w:multiLevelType w:val="multilevel"/>
    <w:tmpl w:val="9D6C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AF71C9"/>
    <w:multiLevelType w:val="multilevel"/>
    <w:tmpl w:val="DA7C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EB028E9"/>
    <w:multiLevelType w:val="multilevel"/>
    <w:tmpl w:val="40544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B42EEA"/>
    <w:multiLevelType w:val="multilevel"/>
    <w:tmpl w:val="F190D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CD53C1"/>
    <w:multiLevelType w:val="multilevel"/>
    <w:tmpl w:val="CEF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0126BC"/>
    <w:multiLevelType w:val="multilevel"/>
    <w:tmpl w:val="7144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8D0518"/>
    <w:multiLevelType w:val="multilevel"/>
    <w:tmpl w:val="20085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AC76DD"/>
    <w:multiLevelType w:val="hybridMultilevel"/>
    <w:tmpl w:val="C18EDB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227161">
    <w:abstractNumId w:val="18"/>
    <w:lvlOverride w:ilvl="0">
      <w:startOverride w:val="1"/>
    </w:lvlOverride>
  </w:num>
  <w:num w:numId="2" w16cid:durableId="517739310">
    <w:abstractNumId w:val="11"/>
    <w:lvlOverride w:ilvl="0">
      <w:startOverride w:val="1"/>
    </w:lvlOverride>
  </w:num>
  <w:num w:numId="3" w16cid:durableId="523520567">
    <w:abstractNumId w:val="15"/>
    <w:lvlOverride w:ilvl="0">
      <w:startOverride w:val="1"/>
    </w:lvlOverride>
  </w:num>
  <w:num w:numId="4" w16cid:durableId="1054038548">
    <w:abstractNumId w:val="39"/>
  </w:num>
  <w:num w:numId="5" w16cid:durableId="835610742">
    <w:abstractNumId w:val="20"/>
  </w:num>
  <w:num w:numId="6" w16cid:durableId="1812743602">
    <w:abstractNumId w:val="33"/>
  </w:num>
  <w:num w:numId="7" w16cid:durableId="1264455319">
    <w:abstractNumId w:val="38"/>
  </w:num>
  <w:num w:numId="8" w16cid:durableId="1848207766">
    <w:abstractNumId w:val="37"/>
  </w:num>
  <w:num w:numId="9" w16cid:durableId="305861376">
    <w:abstractNumId w:val="32"/>
  </w:num>
  <w:num w:numId="10" w16cid:durableId="638387998">
    <w:abstractNumId w:val="7"/>
  </w:num>
  <w:num w:numId="11" w16cid:durableId="299574091">
    <w:abstractNumId w:val="13"/>
  </w:num>
  <w:num w:numId="12" w16cid:durableId="2060593622">
    <w:abstractNumId w:val="4"/>
  </w:num>
  <w:num w:numId="13" w16cid:durableId="1018655529">
    <w:abstractNumId w:val="6"/>
  </w:num>
  <w:num w:numId="14" w16cid:durableId="1412654938">
    <w:abstractNumId w:val="22"/>
  </w:num>
  <w:num w:numId="15" w16cid:durableId="434400115">
    <w:abstractNumId w:val="10"/>
  </w:num>
  <w:num w:numId="16" w16cid:durableId="1898978757">
    <w:abstractNumId w:val="30"/>
  </w:num>
  <w:num w:numId="17" w16cid:durableId="197862290">
    <w:abstractNumId w:val="21"/>
  </w:num>
  <w:num w:numId="18" w16cid:durableId="1685135933">
    <w:abstractNumId w:val="24"/>
  </w:num>
  <w:num w:numId="19" w16cid:durableId="1856578276">
    <w:abstractNumId w:val="12"/>
  </w:num>
  <w:num w:numId="20" w16cid:durableId="1921871205">
    <w:abstractNumId w:val="16"/>
  </w:num>
  <w:num w:numId="21" w16cid:durableId="1189563395">
    <w:abstractNumId w:val="2"/>
  </w:num>
  <w:num w:numId="22" w16cid:durableId="2005929862">
    <w:abstractNumId w:val="25"/>
  </w:num>
  <w:num w:numId="23" w16cid:durableId="999305971">
    <w:abstractNumId w:val="8"/>
  </w:num>
  <w:num w:numId="24" w16cid:durableId="1070536675">
    <w:abstractNumId w:val="17"/>
  </w:num>
  <w:num w:numId="25" w16cid:durableId="1834645113">
    <w:abstractNumId w:val="3"/>
  </w:num>
  <w:num w:numId="26" w16cid:durableId="772827028">
    <w:abstractNumId w:val="27"/>
  </w:num>
  <w:num w:numId="27" w16cid:durableId="1180579665">
    <w:abstractNumId w:val="35"/>
  </w:num>
  <w:num w:numId="28" w16cid:durableId="1353068056">
    <w:abstractNumId w:val="26"/>
  </w:num>
  <w:num w:numId="29" w16cid:durableId="1559510610">
    <w:abstractNumId w:val="9"/>
  </w:num>
  <w:num w:numId="30" w16cid:durableId="1387484551">
    <w:abstractNumId w:val="29"/>
  </w:num>
  <w:num w:numId="31" w16cid:durableId="506360368">
    <w:abstractNumId w:val="34"/>
  </w:num>
  <w:num w:numId="32" w16cid:durableId="74131234">
    <w:abstractNumId w:val="31"/>
  </w:num>
  <w:num w:numId="33" w16cid:durableId="2007702522">
    <w:abstractNumId w:val="36"/>
  </w:num>
  <w:num w:numId="34" w16cid:durableId="1857234967">
    <w:abstractNumId w:val="1"/>
  </w:num>
  <w:num w:numId="35" w16cid:durableId="39719448">
    <w:abstractNumId w:val="14"/>
  </w:num>
  <w:num w:numId="36" w16cid:durableId="1167672572">
    <w:abstractNumId w:val="28"/>
  </w:num>
  <w:num w:numId="37" w16cid:durableId="280571813">
    <w:abstractNumId w:val="19"/>
  </w:num>
  <w:num w:numId="38" w16cid:durableId="1915310089">
    <w:abstractNumId w:val="0"/>
  </w:num>
  <w:num w:numId="39" w16cid:durableId="1526362481">
    <w:abstractNumId w:val="5"/>
  </w:num>
  <w:num w:numId="40" w16cid:durableId="215355331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DE8"/>
    <w:rsid w:val="00011D96"/>
    <w:rsid w:val="000E262C"/>
    <w:rsid w:val="002C4DE8"/>
    <w:rsid w:val="002D244A"/>
    <w:rsid w:val="006B4071"/>
    <w:rsid w:val="0099176E"/>
    <w:rsid w:val="00CD6ED6"/>
    <w:rsid w:val="00D21E69"/>
    <w:rsid w:val="00D87F1F"/>
    <w:rsid w:val="00DA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BF4246"/>
  <w15:docId w15:val="{F7332765-A79A-49BD-89E2-47BC5D73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Строгий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a">
    <w:name w:val="Інше_"/>
    <w:basedOn w:val="DefaultParagraphFont"/>
    <w:link w:val="a0"/>
    <w:rsid w:val="00D21E69"/>
    <w:rPr>
      <w:rFonts w:ascii="Times New Roman" w:eastAsia="Times New Roman" w:hAnsi="Times New Roman" w:cs="Times New Roman"/>
      <w:sz w:val="26"/>
      <w:szCs w:val="26"/>
    </w:rPr>
  </w:style>
  <w:style w:type="paragraph" w:customStyle="1" w:styleId="a0">
    <w:name w:val="Інше"/>
    <w:basedOn w:val="Normal"/>
    <w:link w:val="a"/>
    <w:rsid w:val="00D21E69"/>
    <w:pPr>
      <w:widowControl w:val="0"/>
      <w:spacing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font-claude-response-body">
    <w:name w:val="font-claude-response-body"/>
    <w:basedOn w:val="Normal"/>
    <w:rsid w:val="009917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A" w:eastAsia="en-US"/>
    </w:rPr>
  </w:style>
  <w:style w:type="character" w:styleId="Emphasis">
    <w:name w:val="Emphasis"/>
    <w:basedOn w:val="DefaultParagraphFont"/>
    <w:uiPriority w:val="20"/>
    <w:qFormat/>
    <w:rsid w:val="0099176E"/>
    <w:rPr>
      <w:i/>
      <w:iCs/>
    </w:rPr>
  </w:style>
  <w:style w:type="character" w:styleId="Strong">
    <w:name w:val="Strong"/>
    <w:basedOn w:val="DefaultParagraphFont"/>
    <w:uiPriority w:val="22"/>
    <w:qFormat/>
    <w:rsid w:val="0099176E"/>
    <w:rPr>
      <w:b/>
      <w:bCs/>
    </w:rPr>
  </w:style>
  <w:style w:type="character" w:customStyle="1" w:styleId="apple-converted-space">
    <w:name w:val="apple-converted-space"/>
    <w:basedOn w:val="DefaultParagraphFont"/>
    <w:rsid w:val="0099176E"/>
  </w:style>
  <w:style w:type="character" w:styleId="HTMLCode">
    <w:name w:val="HTML Code"/>
    <w:basedOn w:val="DefaultParagraphFont"/>
    <w:uiPriority w:val="99"/>
    <w:semiHidden/>
    <w:unhideWhenUsed/>
    <w:rsid w:val="0099176E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991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176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0E262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4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arch.crossref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0000-0000-0000-0000" TargetMode="External"/><Relationship Id="rId10" Type="http://schemas.openxmlformats.org/officeDocument/2006/relationships/hyperlink" Target="https://doi.org/10.xxxxx/xxx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xxxxx/xxxx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1950</Words>
  <Characters>13302</Characters>
  <Application>Microsoft Office Word</Application>
  <DocSecurity>0</DocSecurity>
  <Lines>316</Lines>
  <Paragraphs>231</Paragraphs>
  <ScaleCrop>false</ScaleCrop>
  <Company/>
  <LinksUpToDate>false</LinksUpToDate>
  <CharactersWithSpaces>15021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Oleh Harhat</cp:lastModifiedBy>
  <cp:revision>2</cp:revision>
  <dcterms:created xsi:type="dcterms:W3CDTF">2026-07-30T10:46:00Z</dcterms:created>
  <dcterms:modified xsi:type="dcterms:W3CDTF">2026-07-30T10:46:00Z</dcterms:modified>
</cp:coreProperties>
</file>